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83B" w:rsidRPr="0056564A" w:rsidRDefault="00E3683B" w:rsidP="00E3683B">
      <w:pPr>
        <w:spacing w:line="480" w:lineRule="auto"/>
        <w:jc w:val="center"/>
        <w:rPr>
          <w:rFonts w:ascii="Times New Roman" w:hAnsi="Times New Roman" w:cs="Times New Roman"/>
          <w:b/>
          <w:sz w:val="24"/>
          <w:szCs w:val="24"/>
        </w:rPr>
      </w:pPr>
    </w:p>
    <w:p w:rsidR="00E3683B" w:rsidRPr="0056564A" w:rsidRDefault="00E3683B" w:rsidP="00E3683B">
      <w:pPr>
        <w:spacing w:line="480" w:lineRule="auto"/>
        <w:jc w:val="center"/>
        <w:rPr>
          <w:rFonts w:ascii="Times New Roman" w:hAnsi="Times New Roman" w:cs="Times New Roman"/>
          <w:b/>
          <w:sz w:val="24"/>
          <w:szCs w:val="24"/>
        </w:rPr>
      </w:pPr>
    </w:p>
    <w:p w:rsidR="00E3683B" w:rsidRPr="0056564A" w:rsidRDefault="00E3683B" w:rsidP="00E3683B">
      <w:pPr>
        <w:spacing w:line="480" w:lineRule="auto"/>
        <w:jc w:val="center"/>
        <w:rPr>
          <w:rFonts w:ascii="Times New Roman" w:hAnsi="Times New Roman" w:cs="Times New Roman"/>
          <w:b/>
          <w:sz w:val="24"/>
          <w:szCs w:val="24"/>
        </w:rPr>
      </w:pPr>
    </w:p>
    <w:p w:rsidR="00E3683B" w:rsidRPr="0056564A" w:rsidRDefault="00E3683B" w:rsidP="00E3683B">
      <w:pPr>
        <w:spacing w:line="480" w:lineRule="auto"/>
        <w:jc w:val="center"/>
        <w:rPr>
          <w:rFonts w:ascii="Times New Roman" w:hAnsi="Times New Roman" w:cs="Times New Roman"/>
          <w:b/>
          <w:sz w:val="24"/>
          <w:szCs w:val="24"/>
        </w:rPr>
      </w:pPr>
    </w:p>
    <w:p w:rsidR="00E3683B" w:rsidRPr="0056564A" w:rsidRDefault="00E3683B" w:rsidP="00E3683B">
      <w:pPr>
        <w:spacing w:line="480" w:lineRule="auto"/>
        <w:jc w:val="center"/>
        <w:rPr>
          <w:rFonts w:ascii="Times New Roman" w:hAnsi="Times New Roman" w:cs="Times New Roman"/>
          <w:b/>
          <w:sz w:val="24"/>
          <w:szCs w:val="24"/>
        </w:rPr>
      </w:pPr>
    </w:p>
    <w:p w:rsidR="00E3683B" w:rsidRPr="0056564A" w:rsidRDefault="00E3683B" w:rsidP="00E3683B">
      <w:pPr>
        <w:spacing w:line="480" w:lineRule="auto"/>
        <w:jc w:val="center"/>
        <w:rPr>
          <w:rFonts w:ascii="Times New Roman" w:hAnsi="Times New Roman" w:cs="Times New Roman"/>
          <w:sz w:val="24"/>
          <w:szCs w:val="24"/>
        </w:rPr>
      </w:pPr>
    </w:p>
    <w:p w:rsidR="00E3683B" w:rsidRPr="0056564A" w:rsidRDefault="00E3683B" w:rsidP="00E3683B">
      <w:pPr>
        <w:spacing w:line="480" w:lineRule="auto"/>
        <w:jc w:val="center"/>
        <w:rPr>
          <w:rFonts w:ascii="Times New Roman" w:hAnsi="Times New Roman" w:cs="Times New Roman"/>
          <w:sz w:val="24"/>
          <w:szCs w:val="24"/>
        </w:rPr>
      </w:pPr>
    </w:p>
    <w:p w:rsidR="00EF3B5A" w:rsidRPr="0056564A" w:rsidRDefault="00E3683B" w:rsidP="00E3683B">
      <w:pPr>
        <w:spacing w:line="480" w:lineRule="auto"/>
        <w:jc w:val="center"/>
        <w:rPr>
          <w:rFonts w:ascii="Times New Roman" w:hAnsi="Times New Roman" w:cs="Times New Roman"/>
          <w:b/>
          <w:sz w:val="24"/>
          <w:szCs w:val="24"/>
        </w:rPr>
      </w:pPr>
      <w:r w:rsidRPr="0056564A">
        <w:rPr>
          <w:rFonts w:ascii="Times New Roman" w:hAnsi="Times New Roman" w:cs="Times New Roman"/>
          <w:sz w:val="24"/>
          <w:szCs w:val="24"/>
        </w:rPr>
        <w:t>Improvement Turnaround Plan</w:t>
      </w:r>
      <w:r w:rsidRPr="0056564A">
        <w:rPr>
          <w:rFonts w:ascii="Times New Roman" w:hAnsi="Times New Roman" w:cs="Times New Roman"/>
          <w:sz w:val="24"/>
          <w:szCs w:val="24"/>
        </w:rPr>
        <w:br/>
        <w:t>Name</w:t>
      </w:r>
      <w:r w:rsidRPr="0056564A">
        <w:rPr>
          <w:rFonts w:ascii="Times New Roman" w:hAnsi="Times New Roman" w:cs="Times New Roman"/>
          <w:sz w:val="24"/>
          <w:szCs w:val="24"/>
        </w:rPr>
        <w:br/>
        <w:t>Institution</w:t>
      </w:r>
      <w:r w:rsidRPr="0056564A">
        <w:rPr>
          <w:rFonts w:ascii="Times New Roman" w:hAnsi="Times New Roman" w:cs="Times New Roman"/>
          <w:sz w:val="24"/>
          <w:szCs w:val="24"/>
        </w:rPr>
        <w:br/>
        <w:t xml:space="preserve">Date </w:t>
      </w:r>
      <w:r w:rsidR="00EF3B5A" w:rsidRPr="0056564A">
        <w:rPr>
          <w:rFonts w:ascii="Times New Roman" w:hAnsi="Times New Roman" w:cs="Times New Roman"/>
          <w:b/>
          <w:sz w:val="24"/>
          <w:szCs w:val="24"/>
        </w:rPr>
        <w:br w:type="page"/>
      </w:r>
    </w:p>
    <w:p w:rsidR="00E3683B" w:rsidRPr="0056564A" w:rsidRDefault="00C3236A" w:rsidP="00E3683B">
      <w:pPr>
        <w:spacing w:line="480" w:lineRule="auto"/>
        <w:jc w:val="center"/>
        <w:rPr>
          <w:rFonts w:ascii="Times New Roman" w:hAnsi="Times New Roman" w:cs="Times New Roman"/>
          <w:b/>
          <w:sz w:val="24"/>
          <w:szCs w:val="24"/>
        </w:rPr>
      </w:pPr>
      <w:r w:rsidRPr="0056564A">
        <w:rPr>
          <w:rFonts w:ascii="Times New Roman" w:hAnsi="Times New Roman" w:cs="Times New Roman"/>
          <w:b/>
          <w:sz w:val="24"/>
          <w:szCs w:val="24"/>
        </w:rPr>
        <w:lastRenderedPageBreak/>
        <w:t>Improvement Turnaround Plan</w:t>
      </w:r>
    </w:p>
    <w:p w:rsidR="0094116F" w:rsidRPr="0056564A" w:rsidRDefault="0094116F" w:rsidP="00E3683B">
      <w:pPr>
        <w:spacing w:line="480" w:lineRule="auto"/>
        <w:rPr>
          <w:rFonts w:ascii="Times New Roman" w:hAnsi="Times New Roman" w:cs="Times New Roman"/>
          <w:b/>
          <w:sz w:val="24"/>
          <w:szCs w:val="24"/>
        </w:rPr>
      </w:pPr>
      <w:r w:rsidRPr="0056564A">
        <w:rPr>
          <w:rFonts w:ascii="Times New Roman" w:hAnsi="Times New Roman" w:cs="Times New Roman"/>
          <w:b/>
          <w:sz w:val="24"/>
          <w:szCs w:val="24"/>
        </w:rPr>
        <w:t>Introduction</w:t>
      </w:r>
    </w:p>
    <w:p w:rsidR="00D17D80" w:rsidRPr="0056564A" w:rsidRDefault="00996EC4" w:rsidP="00D17D80">
      <w:pPr>
        <w:spacing w:line="480" w:lineRule="auto"/>
        <w:rPr>
          <w:rFonts w:ascii="Times New Roman" w:hAnsi="Times New Roman" w:cs="Times New Roman"/>
          <w:sz w:val="24"/>
          <w:szCs w:val="24"/>
        </w:rPr>
      </w:pPr>
      <w:r w:rsidRPr="0056564A">
        <w:rPr>
          <w:rFonts w:ascii="Times New Roman" w:hAnsi="Times New Roman" w:cs="Times New Roman"/>
          <w:sz w:val="24"/>
          <w:szCs w:val="24"/>
        </w:rPr>
        <w:tab/>
      </w:r>
      <w:r w:rsidR="00D17D80" w:rsidRPr="0056564A">
        <w:rPr>
          <w:rFonts w:ascii="Times New Roman" w:hAnsi="Times New Roman" w:cs="Times New Roman"/>
          <w:sz w:val="24"/>
          <w:szCs w:val="24"/>
        </w:rPr>
        <w:t>The Turnaround Plan will optimize teaching and learning systems on the institution to enhance instructional delivery and student involvement to endorse augmented academic performance. The development of a lesson plan structure will help teachers constantly integrate instruction with the Texas student expectation. Furthermore, the turnaround plan will target project-based approaches to strengthen scholar involvement amidst all sub-population factions and articulate students' social attributes. The school will alter the structures and settings that will guarantee institutional-wide execution of a new mechanism for teaching to achieve the main goals. Therefore, the turnaround project will consider the change process, data analysis, process-planning, essential steps, maintaining progress, and response action.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Change Process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           </w:t>
      </w:r>
      <w:r w:rsidRPr="0056564A">
        <w:rPr>
          <w:rFonts w:ascii="Times New Roman" w:hAnsi="Times New Roman" w:cs="Times New Roman"/>
          <w:sz w:val="24"/>
          <w:szCs w:val="24"/>
        </w:rPr>
        <w:t>The change process will put the planning mechanisms to endorse effective lesson planning, data assessment configurations, and effectual integration of learning and teaching to accomplish the intended goal. More to the point, the change process will adjust the school's lesson plan structure and planning process to compel teachers to target all scholars' outstanding approaches. The turnaround project will start integrating professional development that will endorse the effortless execution of AVID approaches to project-based plans and learning once the structures are modified. The collaboration amid District level team and instructional leaders will allocate various change processes interlinked to the plan to enhance learning and teaching capabilities</w:t>
      </w:r>
      <w:r w:rsidR="00ED66D6">
        <w:rPr>
          <w:rFonts w:ascii="Times New Roman" w:hAnsi="Times New Roman" w:cs="Times New Roman"/>
          <w:sz w:val="24"/>
          <w:szCs w:val="24"/>
        </w:rPr>
        <w:t xml:space="preserve"> </w:t>
      </w:r>
      <w:r w:rsidR="00341E28" w:rsidRPr="00341E28">
        <w:rPr>
          <w:rFonts w:ascii="Times New Roman" w:hAnsi="Times New Roman" w:cs="Times New Roman"/>
          <w:sz w:val="24"/>
          <w:szCs w:val="24"/>
        </w:rPr>
        <w:t>(Lunenburg &amp; Ornstein, 2012)</w:t>
      </w:r>
      <w:r w:rsidRPr="0056564A">
        <w:rPr>
          <w:rFonts w:ascii="Times New Roman" w:hAnsi="Times New Roman" w:cs="Times New Roman"/>
          <w:sz w:val="24"/>
          <w:szCs w:val="24"/>
        </w:rPr>
        <w:t>.</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Data Analysis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lastRenderedPageBreak/>
        <w:t>           </w:t>
      </w:r>
      <w:r w:rsidRPr="0056564A">
        <w:rPr>
          <w:rFonts w:ascii="Times New Roman" w:hAnsi="Times New Roman" w:cs="Times New Roman"/>
          <w:sz w:val="24"/>
          <w:szCs w:val="24"/>
        </w:rPr>
        <w:t xml:space="preserve">According to </w:t>
      </w:r>
      <w:r w:rsidR="00F31E11" w:rsidRPr="00F31E11">
        <w:rPr>
          <w:rFonts w:ascii="Times New Roman" w:hAnsi="Times New Roman" w:cs="Times New Roman"/>
          <w:sz w:val="24"/>
          <w:szCs w:val="24"/>
        </w:rPr>
        <w:t xml:space="preserve">Texas Education Agency </w:t>
      </w:r>
      <w:r w:rsidR="00B12EAE">
        <w:rPr>
          <w:rFonts w:ascii="Times New Roman" w:hAnsi="Times New Roman" w:cs="Times New Roman"/>
          <w:sz w:val="24"/>
          <w:szCs w:val="24"/>
        </w:rPr>
        <w:t>(2015)</w:t>
      </w:r>
      <w:r w:rsidRPr="0056564A">
        <w:rPr>
          <w:rFonts w:ascii="Times New Roman" w:hAnsi="Times New Roman" w:cs="Times New Roman"/>
          <w:sz w:val="24"/>
          <w:szCs w:val="24"/>
        </w:rPr>
        <w:t>, low anticipations and responsibility from ineffective learning and teaching have destructively influenced student performance and campus climate conducive to the student. Secondly, the performance report's data stipulates that the ineffective application of data-driven instructional learning and teaching has influenced a diminution of standard time on task for student impact in below grade-level student performance. Therefore, when assessing three years of data for the campus, the cohort of math students from grade 6 to 8 had an interesting twist and turn. The same students' cohorts changed from grade 6 to</w:t>
      </w:r>
      <w:r w:rsidR="00E3044C">
        <w:rPr>
          <w:rFonts w:ascii="Times New Roman" w:hAnsi="Times New Roman" w:cs="Times New Roman"/>
          <w:sz w:val="24"/>
          <w:szCs w:val="24"/>
        </w:rPr>
        <w:t xml:space="preserve"> grade 8 and scored impressively (</w:t>
      </w:r>
      <w:r w:rsidR="00661C2E" w:rsidRPr="00661C2E">
        <w:rPr>
          <w:rFonts w:ascii="Times New Roman" w:hAnsi="Times New Roman" w:cs="Times New Roman"/>
          <w:sz w:val="24"/>
          <w:szCs w:val="24"/>
        </w:rPr>
        <w:t>Texas Education Agency</w:t>
      </w:r>
      <w:r w:rsidR="00541C27">
        <w:rPr>
          <w:rFonts w:ascii="Times New Roman" w:hAnsi="Times New Roman" w:cs="Times New Roman"/>
          <w:sz w:val="24"/>
          <w:szCs w:val="24"/>
        </w:rPr>
        <w:t>, 2015)</w:t>
      </w:r>
      <w:r w:rsidRPr="0056564A">
        <w:rPr>
          <w:rFonts w:ascii="Times New Roman" w:hAnsi="Times New Roman" w:cs="Times New Roman"/>
          <w:sz w:val="24"/>
          <w:szCs w:val="24"/>
        </w:rPr>
        <w:t>.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Planning the process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sz w:val="24"/>
          <w:szCs w:val="24"/>
        </w:rPr>
        <w:t>           The turnaround process's evaluation and planning will consider deliberations with shareholders such as the community, scholars, and learning experts. What's more, the turnaround plan will also highlight the educational facet to consider a recreational strategy for integrating members of the community with teachers and scholars and allocating investors to take part in the bond and capability developmen</w:t>
      </w:r>
      <w:r w:rsidR="00B55387">
        <w:rPr>
          <w:rFonts w:ascii="Times New Roman" w:hAnsi="Times New Roman" w:cs="Times New Roman"/>
          <w:sz w:val="24"/>
          <w:szCs w:val="24"/>
        </w:rPr>
        <w:t xml:space="preserve">t </w:t>
      </w:r>
      <w:r w:rsidR="00B300A5" w:rsidRPr="00B300A5">
        <w:rPr>
          <w:rFonts w:ascii="Times New Roman" w:hAnsi="Times New Roman" w:cs="Times New Roman"/>
          <w:sz w:val="24"/>
          <w:szCs w:val="24"/>
        </w:rPr>
        <w:t>(</w:t>
      </w:r>
      <w:proofErr w:type="spellStart"/>
      <w:r w:rsidR="00B300A5" w:rsidRPr="00B300A5">
        <w:rPr>
          <w:rFonts w:ascii="Times New Roman" w:hAnsi="Times New Roman" w:cs="Times New Roman"/>
          <w:sz w:val="24"/>
          <w:szCs w:val="24"/>
        </w:rPr>
        <w:t>Kouzes</w:t>
      </w:r>
      <w:proofErr w:type="spellEnd"/>
      <w:r w:rsidR="00B300A5" w:rsidRPr="00B300A5">
        <w:rPr>
          <w:rFonts w:ascii="Times New Roman" w:hAnsi="Times New Roman" w:cs="Times New Roman"/>
          <w:sz w:val="24"/>
          <w:szCs w:val="24"/>
        </w:rPr>
        <w:t xml:space="preserve"> &amp; Poser, 2017)</w:t>
      </w:r>
      <w:r w:rsidRPr="0056564A">
        <w:rPr>
          <w:rFonts w:ascii="Times New Roman" w:hAnsi="Times New Roman" w:cs="Times New Roman"/>
          <w:sz w:val="24"/>
          <w:szCs w:val="24"/>
        </w:rPr>
        <w:t>. Thus, the turnaround plan will need to develop a district recreation committee that will concentrate on organizing, strategizing, and budgeting for the recreational guidelines. The modus operandi to consider the turnaround plan's prosperity is establishing a connection amid all shareholders.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Planning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           </w:t>
      </w:r>
      <w:r w:rsidRPr="0056564A">
        <w:rPr>
          <w:rFonts w:ascii="Times New Roman" w:hAnsi="Times New Roman" w:cs="Times New Roman"/>
          <w:sz w:val="24"/>
          <w:szCs w:val="24"/>
        </w:rPr>
        <w:t xml:space="preserve">The turnaround plan provides extensive details regarding how the institution under review aims to execute it and accomplish it through the various values involved in planning. Furthermore, the planning of the turnaround imitative considers the aspiration to generate caring scholars that emphasize community living, ethics, learning, and teaching. As an outcome, </w:t>
      </w:r>
      <w:r w:rsidRPr="0056564A">
        <w:rPr>
          <w:rFonts w:ascii="Times New Roman" w:hAnsi="Times New Roman" w:cs="Times New Roman"/>
          <w:sz w:val="24"/>
          <w:szCs w:val="24"/>
        </w:rPr>
        <w:lastRenderedPageBreak/>
        <w:t xml:space="preserve">excellence is an integral part of the planning as it attempts a concise definition of the district's unique proficiency and competence in learning and teaching. The turnaround plan includes the ambiguity of </w:t>
      </w:r>
      <w:proofErr w:type="gramStart"/>
      <w:r w:rsidRPr="0056564A">
        <w:rPr>
          <w:rFonts w:ascii="Times New Roman" w:hAnsi="Times New Roman" w:cs="Times New Roman"/>
          <w:sz w:val="24"/>
          <w:szCs w:val="24"/>
        </w:rPr>
        <w:t>its</w:t>
      </w:r>
      <w:proofErr w:type="gramEnd"/>
      <w:r w:rsidRPr="0056564A">
        <w:rPr>
          <w:rFonts w:ascii="Times New Roman" w:hAnsi="Times New Roman" w:cs="Times New Roman"/>
          <w:sz w:val="24"/>
          <w:szCs w:val="24"/>
        </w:rPr>
        <w:t xml:space="preserve"> carried out as it signifies that all stakeholders are engaged in executing the turnaround plan and accomplishing the desire goals constant with the certain DIP sections. Consequently, the turnaround </w:t>
      </w:r>
      <w:proofErr w:type="gramStart"/>
      <w:r w:rsidRPr="0056564A">
        <w:rPr>
          <w:rFonts w:ascii="Times New Roman" w:hAnsi="Times New Roman" w:cs="Times New Roman"/>
          <w:sz w:val="24"/>
          <w:szCs w:val="24"/>
        </w:rPr>
        <w:t>plan's</w:t>
      </w:r>
      <w:proofErr w:type="gramEnd"/>
      <w:r w:rsidRPr="0056564A">
        <w:rPr>
          <w:rFonts w:ascii="Times New Roman" w:hAnsi="Times New Roman" w:cs="Times New Roman"/>
          <w:sz w:val="24"/>
          <w:szCs w:val="24"/>
        </w:rPr>
        <w:t xml:space="preserve"> planning mirrors the beliefs, philosophies, and values, as </w:t>
      </w:r>
      <w:r w:rsidR="00E471CA">
        <w:rPr>
          <w:rFonts w:ascii="Times New Roman" w:hAnsi="Times New Roman" w:cs="Times New Roman"/>
          <w:sz w:val="24"/>
          <w:szCs w:val="24"/>
        </w:rPr>
        <w:t>it is elementary and achievable</w:t>
      </w:r>
      <w:r w:rsidR="00846289" w:rsidRPr="00846289">
        <w:t xml:space="preserve"> </w:t>
      </w:r>
      <w:r w:rsidR="00846289" w:rsidRPr="00846289">
        <w:rPr>
          <w:rFonts w:ascii="Times New Roman" w:hAnsi="Times New Roman" w:cs="Times New Roman"/>
          <w:sz w:val="24"/>
          <w:szCs w:val="24"/>
        </w:rPr>
        <w:t>(</w:t>
      </w:r>
      <w:proofErr w:type="spellStart"/>
      <w:r w:rsidR="00846289" w:rsidRPr="00846289">
        <w:rPr>
          <w:rFonts w:ascii="Times New Roman" w:hAnsi="Times New Roman" w:cs="Times New Roman"/>
          <w:sz w:val="24"/>
          <w:szCs w:val="24"/>
        </w:rPr>
        <w:t>Kouzes</w:t>
      </w:r>
      <w:proofErr w:type="spellEnd"/>
      <w:r w:rsidR="00846289" w:rsidRPr="00846289">
        <w:rPr>
          <w:rFonts w:ascii="Times New Roman" w:hAnsi="Times New Roman" w:cs="Times New Roman"/>
          <w:sz w:val="24"/>
          <w:szCs w:val="24"/>
        </w:rPr>
        <w:t xml:space="preserve"> &amp; Poser, 2017)</w:t>
      </w:r>
      <w:r w:rsidR="00E471CA">
        <w:rPr>
          <w:rFonts w:ascii="Times New Roman" w:hAnsi="Times New Roman" w:cs="Times New Roman"/>
          <w:sz w:val="24"/>
          <w:szCs w:val="24"/>
        </w:rPr>
        <w:t>.</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Academic Plan steps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sz w:val="24"/>
          <w:szCs w:val="24"/>
        </w:rPr>
        <w:t>           The turnaround plan has various academic plan approaches integral in improving the learning and teaching abilities of involved shareholders. Primarily, the first step entails focused and effective teacher training programs. More to the point, the academic approach involves concentrating professional learning and teaching around the need to establish literacy skills as the conduit to making attainment gains across the curriculum. Subsequently, allocate standard information that integrates scholar attainment to classroom and school practices and help the organization apply it effectively</w:t>
      </w:r>
      <w:r w:rsidR="003572D8">
        <w:rPr>
          <w:rFonts w:ascii="Times New Roman" w:hAnsi="Times New Roman" w:cs="Times New Roman"/>
          <w:sz w:val="24"/>
          <w:szCs w:val="24"/>
        </w:rPr>
        <w:t xml:space="preserve"> </w:t>
      </w:r>
      <w:r w:rsidR="003222C1" w:rsidRPr="003222C1">
        <w:rPr>
          <w:rFonts w:ascii="Times New Roman" w:hAnsi="Times New Roman" w:cs="Times New Roman"/>
          <w:sz w:val="24"/>
          <w:szCs w:val="24"/>
        </w:rPr>
        <w:t>(</w:t>
      </w:r>
      <w:proofErr w:type="spellStart"/>
      <w:r w:rsidR="003222C1" w:rsidRPr="003222C1">
        <w:rPr>
          <w:rFonts w:ascii="Times New Roman" w:hAnsi="Times New Roman" w:cs="Times New Roman"/>
          <w:sz w:val="24"/>
          <w:szCs w:val="24"/>
        </w:rPr>
        <w:t>Kouzes</w:t>
      </w:r>
      <w:proofErr w:type="spellEnd"/>
      <w:r w:rsidR="003222C1" w:rsidRPr="003222C1">
        <w:rPr>
          <w:rFonts w:ascii="Times New Roman" w:hAnsi="Times New Roman" w:cs="Times New Roman"/>
          <w:sz w:val="24"/>
          <w:szCs w:val="24"/>
        </w:rPr>
        <w:t xml:space="preserve"> &amp; Poser, 2017)</w:t>
      </w:r>
      <w:r w:rsidRPr="0056564A">
        <w:rPr>
          <w:rFonts w:ascii="Times New Roman" w:hAnsi="Times New Roman" w:cs="Times New Roman"/>
          <w:sz w:val="24"/>
          <w:szCs w:val="24"/>
        </w:rPr>
        <w:t>. What's more, this includes working with faculty to assess various data sources to apply that data to enhance learning and teaching for all student factions. The last academic plan approach considers rearranging the principal duties and responsibilities to implement or articulate instruction leadership through effective learning and teaching.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Culture and climate plan steps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sz w:val="24"/>
          <w:szCs w:val="24"/>
        </w:rPr>
        <w:t xml:space="preserve">           A purposeful organizational climate and culture approach developed will have clear objectives in mind as they guarantee scholar learning and teaching is taking place. As an outcome, the development of policies and frameworks, passing judgments guarantee the </w:t>
      </w:r>
      <w:r w:rsidRPr="0056564A">
        <w:rPr>
          <w:rFonts w:ascii="Times New Roman" w:hAnsi="Times New Roman" w:cs="Times New Roman"/>
          <w:sz w:val="24"/>
          <w:szCs w:val="24"/>
        </w:rPr>
        <w:lastRenderedPageBreak/>
        <w:t>propagation of learning in the entire school. What's more, the data analyzed before is evidence for all execution, and teachers should be applying effective concepts to help aid in troubled regions. As an outcome, the institutional climate and culture can improve students' performance, teachers' job satisfaction, and the sense of certainty regarding problem-</w:t>
      </w:r>
      <w:r w:rsidR="004C43D7" w:rsidRPr="0056564A">
        <w:rPr>
          <w:rFonts w:ascii="Times New Roman" w:hAnsi="Times New Roman" w:cs="Times New Roman"/>
          <w:sz w:val="24"/>
          <w:szCs w:val="24"/>
        </w:rPr>
        <w:t>solving</w:t>
      </w:r>
      <w:r w:rsidR="004C43D7" w:rsidRPr="00D2579B">
        <w:rPr>
          <w:rFonts w:ascii="Times New Roman" w:hAnsi="Times New Roman" w:cs="Times New Roman"/>
          <w:sz w:val="24"/>
          <w:szCs w:val="24"/>
        </w:rPr>
        <w:t xml:space="preserve"> (</w:t>
      </w:r>
      <w:r w:rsidR="00D2579B" w:rsidRPr="00D2579B">
        <w:rPr>
          <w:rFonts w:ascii="Times New Roman" w:hAnsi="Times New Roman" w:cs="Times New Roman"/>
          <w:sz w:val="24"/>
          <w:szCs w:val="24"/>
        </w:rPr>
        <w:t>Lunenburg &amp; Ornstein, 2012)</w:t>
      </w:r>
      <w:r w:rsidRPr="0056564A">
        <w:rPr>
          <w:rFonts w:ascii="Times New Roman" w:hAnsi="Times New Roman" w:cs="Times New Roman"/>
          <w:sz w:val="24"/>
          <w:szCs w:val="24"/>
        </w:rPr>
        <w:t>. Therefore, the steps involved will consider focusing professional learning around the need to establish literacy techniques, involving the key community and school leaders in structuring a vision through open, reliable, and more frequent interaction.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Sustaining Progress</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           </w:t>
      </w:r>
      <w:r w:rsidRPr="0056564A">
        <w:rPr>
          <w:rFonts w:ascii="Times New Roman" w:hAnsi="Times New Roman" w:cs="Times New Roman"/>
          <w:sz w:val="24"/>
          <w:szCs w:val="24"/>
        </w:rPr>
        <w:t xml:space="preserve">Undoubtedly, professional learning and teaching should be meaningful and adhered to with a concentration on literary technique to sustaining progress when they leave high school. However, the foundation of the mission to sustain progress in the school focuses on literary techniques. </w:t>
      </w:r>
      <w:r w:rsidR="0045545A">
        <w:rPr>
          <w:rFonts w:ascii="Times New Roman" w:hAnsi="Times New Roman" w:cs="Times New Roman"/>
          <w:sz w:val="24"/>
          <w:szCs w:val="24"/>
        </w:rPr>
        <w:t>Lunenburg &amp; Ornstein (</w:t>
      </w:r>
      <w:r w:rsidR="006F1876" w:rsidRPr="006F1876">
        <w:rPr>
          <w:rFonts w:ascii="Times New Roman" w:hAnsi="Times New Roman" w:cs="Times New Roman"/>
          <w:sz w:val="24"/>
          <w:szCs w:val="24"/>
        </w:rPr>
        <w:t>2012</w:t>
      </w:r>
      <w:r w:rsidR="0045545A">
        <w:rPr>
          <w:rFonts w:ascii="Times New Roman" w:hAnsi="Times New Roman" w:cs="Times New Roman"/>
          <w:sz w:val="24"/>
          <w:szCs w:val="24"/>
        </w:rPr>
        <w:t xml:space="preserve">) </w:t>
      </w:r>
      <w:r w:rsidR="006E365A">
        <w:rPr>
          <w:rFonts w:ascii="Times New Roman" w:hAnsi="Times New Roman" w:cs="Times New Roman"/>
          <w:sz w:val="24"/>
          <w:szCs w:val="24"/>
        </w:rPr>
        <w:t>believe</w:t>
      </w:r>
      <w:r w:rsidRPr="0056564A">
        <w:rPr>
          <w:rFonts w:ascii="Times New Roman" w:hAnsi="Times New Roman" w:cs="Times New Roman"/>
          <w:sz w:val="24"/>
          <w:szCs w:val="24"/>
        </w:rPr>
        <w:t xml:space="preserve"> that the heart of supervisory governance is structuring prospects for tutors to constantly </w:t>
      </w:r>
      <w:r w:rsidR="0056564A" w:rsidRPr="0056564A">
        <w:rPr>
          <w:rFonts w:ascii="Times New Roman" w:hAnsi="Times New Roman" w:cs="Times New Roman"/>
          <w:sz w:val="24"/>
          <w:szCs w:val="24"/>
        </w:rPr>
        <w:t>opti</w:t>
      </w:r>
      <w:bookmarkStart w:id="0" w:name="_GoBack"/>
      <w:bookmarkEnd w:id="0"/>
      <w:r w:rsidR="0056564A" w:rsidRPr="0056564A">
        <w:rPr>
          <w:rFonts w:ascii="Times New Roman" w:hAnsi="Times New Roman" w:cs="Times New Roman"/>
          <w:sz w:val="24"/>
          <w:szCs w:val="24"/>
        </w:rPr>
        <w:t>mize</w:t>
      </w:r>
      <w:r w:rsidRPr="0056564A">
        <w:rPr>
          <w:rFonts w:ascii="Times New Roman" w:hAnsi="Times New Roman" w:cs="Times New Roman"/>
          <w:sz w:val="24"/>
          <w:szCs w:val="24"/>
        </w:rPr>
        <w:t xml:space="preserve"> scholars' abilities to learn, care, and help each other and teach more effectively to maintain the progress of the turnaround plan. Undeniably, schools are learning societies where teachers, schools, and other shareholders are learners and teachers relying on the given situation. Therefore, learning and teaching abilities are mastering of leadership practices and theories are essential as they develop a learning culture in a district that concentrates on literary success to maintain progress. </w:t>
      </w:r>
    </w:p>
    <w:p w:rsidR="00D17D80" w:rsidRPr="0056564A"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Articulation of Response</w:t>
      </w:r>
    </w:p>
    <w:p w:rsidR="00A23649" w:rsidRDefault="00D17D80" w:rsidP="00D17D80">
      <w:pPr>
        <w:spacing w:line="480" w:lineRule="auto"/>
        <w:rPr>
          <w:rFonts w:ascii="Times New Roman" w:hAnsi="Times New Roman" w:cs="Times New Roman"/>
          <w:sz w:val="24"/>
          <w:szCs w:val="24"/>
        </w:rPr>
      </w:pPr>
      <w:r w:rsidRPr="0056564A">
        <w:rPr>
          <w:rFonts w:ascii="Times New Roman" w:hAnsi="Times New Roman" w:cs="Times New Roman"/>
          <w:b/>
          <w:bCs/>
          <w:sz w:val="24"/>
          <w:szCs w:val="24"/>
        </w:rPr>
        <w:t>           </w:t>
      </w:r>
      <w:r w:rsidRPr="0056564A">
        <w:rPr>
          <w:rFonts w:ascii="Times New Roman" w:hAnsi="Times New Roman" w:cs="Times New Roman"/>
          <w:sz w:val="24"/>
          <w:szCs w:val="24"/>
        </w:rPr>
        <w:t xml:space="preserve">The turnaround plan's articulation of response aims to generate rich, data-driven weekly PLCs and build on systems and frameworks that enable teachers to re-evaluate and re-teach misunderstandings or misconceptions trends. Learning and teaching will be integrated into the </w:t>
      </w:r>
      <w:r w:rsidRPr="0056564A">
        <w:rPr>
          <w:rFonts w:ascii="Times New Roman" w:hAnsi="Times New Roman" w:cs="Times New Roman"/>
          <w:sz w:val="24"/>
          <w:szCs w:val="24"/>
        </w:rPr>
        <w:lastRenderedPageBreak/>
        <w:t xml:space="preserve">daily </w:t>
      </w:r>
      <w:proofErr w:type="gramStart"/>
      <w:r w:rsidRPr="0056564A">
        <w:rPr>
          <w:rFonts w:ascii="Times New Roman" w:hAnsi="Times New Roman" w:cs="Times New Roman"/>
          <w:sz w:val="24"/>
          <w:szCs w:val="24"/>
        </w:rPr>
        <w:t>practices</w:t>
      </w:r>
      <w:proofErr w:type="gramEnd"/>
      <w:r w:rsidRPr="0056564A">
        <w:rPr>
          <w:rFonts w:ascii="Times New Roman" w:hAnsi="Times New Roman" w:cs="Times New Roman"/>
          <w:sz w:val="24"/>
          <w:szCs w:val="24"/>
        </w:rPr>
        <w:t xml:space="preserve"> as they will use data from the state interim to re-teach and plan. Moreover, the turnaround plan will provide teachers with actionable responses after observing teaching and learning within 2 days to develop teachers' skills and react promptly to any learning gaps with a corrective articulation that will help augment scholar mastery. </w:t>
      </w:r>
    </w:p>
    <w:p w:rsidR="00B543FE" w:rsidRDefault="00A23649" w:rsidP="00B543F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B543FE" w:rsidRPr="00B543FE" w:rsidRDefault="00B543FE" w:rsidP="00B543FE">
      <w:pPr>
        <w:shd w:val="clear" w:color="auto" w:fill="FFFFFF"/>
        <w:spacing w:after="0" w:line="240" w:lineRule="auto"/>
        <w:jc w:val="center"/>
        <w:rPr>
          <w:rFonts w:ascii="Times New Roman" w:eastAsia="Times New Roman" w:hAnsi="Times New Roman" w:cs="Times New Roman"/>
          <w:color w:val="000000"/>
          <w:sz w:val="24"/>
          <w:szCs w:val="24"/>
        </w:rPr>
      </w:pPr>
      <w:r w:rsidRPr="00B543FE">
        <w:rPr>
          <w:rFonts w:ascii="Times New Roman" w:eastAsia="Times New Roman" w:hAnsi="Times New Roman" w:cs="Times New Roman"/>
          <w:color w:val="000000"/>
          <w:sz w:val="24"/>
          <w:szCs w:val="24"/>
        </w:rPr>
        <w:lastRenderedPageBreak/>
        <w:t>References</w:t>
      </w:r>
    </w:p>
    <w:p w:rsidR="00CD0577" w:rsidRDefault="00B543FE" w:rsidP="00B543FE">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B543FE">
        <w:rPr>
          <w:rFonts w:ascii="Times New Roman" w:eastAsia="Times New Roman" w:hAnsi="Times New Roman" w:cs="Times New Roman"/>
          <w:color w:val="000000"/>
          <w:sz w:val="24"/>
          <w:szCs w:val="24"/>
        </w:rPr>
        <w:t>Texas Education Agency.</w:t>
      </w:r>
      <w:proofErr w:type="gramEnd"/>
      <w:r w:rsidRPr="00B543FE">
        <w:rPr>
          <w:rFonts w:ascii="Times New Roman" w:eastAsia="Times New Roman" w:hAnsi="Times New Roman" w:cs="Times New Roman"/>
          <w:color w:val="000000"/>
          <w:sz w:val="24"/>
          <w:szCs w:val="24"/>
        </w:rPr>
        <w:t xml:space="preserve"> (2015). </w:t>
      </w:r>
      <w:r w:rsidRPr="00B543FE">
        <w:rPr>
          <w:rFonts w:ascii="Times New Roman" w:eastAsia="Times New Roman" w:hAnsi="Times New Roman" w:cs="Times New Roman"/>
          <w:i/>
          <w:iCs/>
          <w:color w:val="000000"/>
          <w:sz w:val="24"/>
          <w:szCs w:val="24"/>
        </w:rPr>
        <w:t>Texas Academic Performance Report</w:t>
      </w:r>
      <w:r w:rsidRPr="00B543FE">
        <w:rPr>
          <w:rFonts w:ascii="Times New Roman" w:eastAsia="Times New Roman" w:hAnsi="Times New Roman" w:cs="Times New Roman"/>
          <w:color w:val="000000"/>
          <w:sz w:val="24"/>
          <w:szCs w:val="24"/>
        </w:rPr>
        <w:t> (2014-15 Campus Performance).</w:t>
      </w:r>
    </w:p>
    <w:p w:rsidR="00DA65A7" w:rsidRPr="00DA65A7" w:rsidRDefault="00DA65A7" w:rsidP="00DA65A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proofErr w:type="gramStart"/>
      <w:r w:rsidRPr="00DA65A7">
        <w:rPr>
          <w:rFonts w:ascii="Times New Roman" w:eastAsia="Times New Roman" w:hAnsi="Times New Roman" w:cs="Times New Roman"/>
          <w:color w:val="000000"/>
          <w:sz w:val="24"/>
          <w:szCs w:val="24"/>
        </w:rPr>
        <w:t>Kouzes</w:t>
      </w:r>
      <w:proofErr w:type="spellEnd"/>
      <w:r w:rsidRPr="00DA65A7">
        <w:rPr>
          <w:rFonts w:ascii="Times New Roman" w:eastAsia="Times New Roman" w:hAnsi="Times New Roman" w:cs="Times New Roman"/>
          <w:color w:val="000000"/>
          <w:sz w:val="24"/>
          <w:szCs w:val="24"/>
        </w:rPr>
        <w:t>, J. M., &amp; Poser, B. Z. (2017).</w:t>
      </w:r>
      <w:proofErr w:type="gramEnd"/>
      <w:r w:rsidRPr="00DA65A7">
        <w:rPr>
          <w:rFonts w:ascii="Times New Roman" w:eastAsia="Times New Roman" w:hAnsi="Times New Roman" w:cs="Times New Roman"/>
          <w:color w:val="000000"/>
          <w:sz w:val="24"/>
          <w:szCs w:val="24"/>
        </w:rPr>
        <w:t xml:space="preserve"> </w:t>
      </w:r>
      <w:r w:rsidRPr="00DA65A7">
        <w:rPr>
          <w:rFonts w:ascii="Times New Roman" w:eastAsia="Times New Roman" w:hAnsi="Times New Roman" w:cs="Times New Roman"/>
          <w:i/>
          <w:color w:val="000000"/>
          <w:sz w:val="24"/>
          <w:szCs w:val="24"/>
        </w:rPr>
        <w:t>The Leadership Challenge</w:t>
      </w:r>
      <w:r w:rsidRPr="00DA65A7">
        <w:rPr>
          <w:rFonts w:ascii="Times New Roman" w:eastAsia="Times New Roman" w:hAnsi="Times New Roman" w:cs="Times New Roman"/>
          <w:color w:val="000000"/>
          <w:sz w:val="24"/>
          <w:szCs w:val="24"/>
        </w:rPr>
        <w:t xml:space="preserve"> (</w:t>
      </w:r>
      <w:proofErr w:type="gramStart"/>
      <w:r w:rsidRPr="00DA65A7">
        <w:rPr>
          <w:rFonts w:ascii="Times New Roman" w:eastAsia="Times New Roman" w:hAnsi="Times New Roman" w:cs="Times New Roman"/>
          <w:color w:val="000000"/>
          <w:sz w:val="24"/>
          <w:szCs w:val="24"/>
        </w:rPr>
        <w:t>6th</w:t>
      </w:r>
      <w:proofErr w:type="gramEnd"/>
      <w:r w:rsidRPr="00DA65A7">
        <w:rPr>
          <w:rFonts w:ascii="Times New Roman" w:eastAsia="Times New Roman" w:hAnsi="Times New Roman" w:cs="Times New Roman"/>
          <w:color w:val="000000"/>
          <w:sz w:val="24"/>
          <w:szCs w:val="24"/>
        </w:rPr>
        <w:t xml:space="preserve"> ed.). </w:t>
      </w:r>
      <w:proofErr w:type="gramStart"/>
      <w:r w:rsidRPr="00DA65A7">
        <w:rPr>
          <w:rFonts w:ascii="Times New Roman" w:eastAsia="Times New Roman" w:hAnsi="Times New Roman" w:cs="Times New Roman"/>
          <w:color w:val="000000"/>
          <w:sz w:val="24"/>
          <w:szCs w:val="24"/>
        </w:rPr>
        <w:t>Hoboken, New Jersey: Wiley.</w:t>
      </w:r>
      <w:proofErr w:type="gramEnd"/>
    </w:p>
    <w:p w:rsidR="00DA65A7" w:rsidRDefault="00DA65A7" w:rsidP="00DA65A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DA65A7">
        <w:rPr>
          <w:rFonts w:ascii="Times New Roman" w:eastAsia="Times New Roman" w:hAnsi="Times New Roman" w:cs="Times New Roman"/>
          <w:color w:val="000000"/>
          <w:sz w:val="24"/>
          <w:szCs w:val="24"/>
        </w:rPr>
        <w:t>Lunenburg, F. and Ornstein, A. (2012) </w:t>
      </w:r>
      <w:r w:rsidRPr="00DA65A7">
        <w:rPr>
          <w:rFonts w:ascii="Times New Roman" w:eastAsia="Times New Roman" w:hAnsi="Times New Roman" w:cs="Times New Roman"/>
          <w:i/>
          <w:color w:val="000000"/>
          <w:sz w:val="24"/>
          <w:szCs w:val="24"/>
        </w:rPr>
        <w:t>Educational Administration: Concepts and Practices</w:t>
      </w:r>
      <w:r w:rsidRPr="00DA65A7">
        <w:rPr>
          <w:rFonts w:ascii="Times New Roman" w:eastAsia="Times New Roman" w:hAnsi="Times New Roman" w:cs="Times New Roman"/>
          <w:color w:val="000000"/>
          <w:sz w:val="24"/>
          <w:szCs w:val="24"/>
        </w:rPr>
        <w:t>, Sixth Edition.</w:t>
      </w:r>
      <w:proofErr w:type="gramEnd"/>
      <w:r w:rsidRPr="00DA65A7">
        <w:rPr>
          <w:rFonts w:ascii="Times New Roman" w:eastAsia="Times New Roman" w:hAnsi="Times New Roman" w:cs="Times New Roman"/>
          <w:color w:val="000000"/>
          <w:sz w:val="24"/>
          <w:szCs w:val="24"/>
        </w:rPr>
        <w:t> </w:t>
      </w:r>
      <w:proofErr w:type="gramStart"/>
      <w:r w:rsidRPr="00DA65A7">
        <w:rPr>
          <w:rFonts w:ascii="Times New Roman" w:eastAsia="Times New Roman" w:hAnsi="Times New Roman" w:cs="Times New Roman"/>
          <w:color w:val="000000"/>
          <w:sz w:val="24"/>
          <w:szCs w:val="24"/>
        </w:rPr>
        <w:t xml:space="preserve">Wadsworth/Thomson </w:t>
      </w:r>
      <w:r w:rsidRPr="00DA65A7">
        <w:rPr>
          <w:rFonts w:ascii="Times New Roman" w:eastAsia="Times New Roman" w:hAnsi="Times New Roman" w:cs="Times New Roman"/>
          <w:color w:val="000000"/>
          <w:sz w:val="24"/>
          <w:szCs w:val="24"/>
        </w:rPr>
        <w:tab/>
        <w:t>Learning.</w:t>
      </w:r>
      <w:proofErr w:type="gramEnd"/>
    </w:p>
    <w:sectPr w:rsidR="00DA65A7" w:rsidSect="00E368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210" w:rsidRDefault="00851210" w:rsidP="00EF3B5A">
      <w:pPr>
        <w:spacing w:after="0" w:line="240" w:lineRule="auto"/>
      </w:pPr>
      <w:r>
        <w:separator/>
      </w:r>
    </w:p>
  </w:endnote>
  <w:endnote w:type="continuationSeparator" w:id="0">
    <w:p w:rsidR="00851210" w:rsidRDefault="00851210" w:rsidP="00EF3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210" w:rsidRDefault="00851210" w:rsidP="00EF3B5A">
      <w:pPr>
        <w:spacing w:after="0" w:line="240" w:lineRule="auto"/>
      </w:pPr>
      <w:r>
        <w:separator/>
      </w:r>
    </w:p>
  </w:footnote>
  <w:footnote w:type="continuationSeparator" w:id="0">
    <w:p w:rsidR="00851210" w:rsidRDefault="00851210" w:rsidP="00EF3B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D92" w:rsidRPr="00E3683B" w:rsidRDefault="00C95D92">
    <w:pPr>
      <w:pStyle w:val="Header"/>
      <w:rPr>
        <w:rFonts w:ascii="Times New Roman" w:hAnsi="Times New Roman" w:cs="Times New Roman"/>
        <w:sz w:val="24"/>
        <w:szCs w:val="24"/>
      </w:rPr>
    </w:pPr>
    <w:r w:rsidRPr="00E3683B">
      <w:rPr>
        <w:rFonts w:ascii="Times New Roman" w:hAnsi="Times New Roman" w:cs="Times New Roman"/>
        <w:sz w:val="24"/>
        <w:szCs w:val="24"/>
      </w:rPr>
      <w:t>IMPROVEMENT TURNAROUND PLAN</w:t>
    </w:r>
    <w:r w:rsidRPr="00E3683B">
      <w:rPr>
        <w:rFonts w:ascii="Times New Roman" w:hAnsi="Times New Roman" w:cs="Times New Roman"/>
        <w:sz w:val="24"/>
        <w:szCs w:val="24"/>
      </w:rPr>
      <w:tab/>
    </w:r>
    <w:r w:rsidRPr="00E3683B">
      <w:rPr>
        <w:rFonts w:ascii="Times New Roman" w:hAnsi="Times New Roman" w:cs="Times New Roman"/>
        <w:sz w:val="24"/>
        <w:szCs w:val="24"/>
      </w:rPr>
      <w:tab/>
    </w:r>
    <w:sdt>
      <w:sdtPr>
        <w:rPr>
          <w:rFonts w:ascii="Times New Roman" w:hAnsi="Times New Roman" w:cs="Times New Roman"/>
          <w:sz w:val="24"/>
          <w:szCs w:val="24"/>
        </w:rPr>
        <w:id w:val="-2039430480"/>
        <w:docPartObj>
          <w:docPartGallery w:val="Page Numbers (Top of Page)"/>
          <w:docPartUnique/>
        </w:docPartObj>
      </w:sdtPr>
      <w:sdtEndPr>
        <w:rPr>
          <w:noProof/>
        </w:rPr>
      </w:sdtEndPr>
      <w:sdtContent>
        <w:r w:rsidRPr="00E3683B">
          <w:rPr>
            <w:rFonts w:ascii="Times New Roman" w:hAnsi="Times New Roman" w:cs="Times New Roman"/>
            <w:sz w:val="24"/>
            <w:szCs w:val="24"/>
          </w:rPr>
          <w:fldChar w:fldCharType="begin"/>
        </w:r>
        <w:r w:rsidRPr="00E3683B">
          <w:rPr>
            <w:rFonts w:ascii="Times New Roman" w:hAnsi="Times New Roman" w:cs="Times New Roman"/>
            <w:sz w:val="24"/>
            <w:szCs w:val="24"/>
          </w:rPr>
          <w:instrText xml:space="preserve"> PAGE   \* MERGEFORMAT </w:instrText>
        </w:r>
        <w:r w:rsidRPr="00E3683B">
          <w:rPr>
            <w:rFonts w:ascii="Times New Roman" w:hAnsi="Times New Roman" w:cs="Times New Roman"/>
            <w:sz w:val="24"/>
            <w:szCs w:val="24"/>
          </w:rPr>
          <w:fldChar w:fldCharType="separate"/>
        </w:r>
        <w:r w:rsidR="006E365A">
          <w:rPr>
            <w:rFonts w:ascii="Times New Roman" w:hAnsi="Times New Roman" w:cs="Times New Roman"/>
            <w:noProof/>
            <w:sz w:val="24"/>
            <w:szCs w:val="24"/>
          </w:rPr>
          <w:t>2</w:t>
        </w:r>
        <w:r w:rsidRPr="00E3683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D92" w:rsidRPr="00E3683B" w:rsidRDefault="00C95D92">
    <w:pPr>
      <w:pStyle w:val="Header"/>
      <w:rPr>
        <w:rFonts w:ascii="Times New Roman" w:hAnsi="Times New Roman" w:cs="Times New Roman"/>
        <w:sz w:val="24"/>
        <w:szCs w:val="24"/>
      </w:rPr>
    </w:pPr>
    <w:r w:rsidRPr="00E3683B">
      <w:rPr>
        <w:rFonts w:ascii="Times New Roman" w:hAnsi="Times New Roman" w:cs="Times New Roman"/>
        <w:sz w:val="24"/>
        <w:szCs w:val="24"/>
      </w:rPr>
      <w:t>Running Head: IMPROVEMENT TURNAROUND PLAN</w:t>
    </w:r>
    <w:r w:rsidRPr="00E3683B">
      <w:rPr>
        <w:rFonts w:ascii="Times New Roman" w:hAnsi="Times New Roman" w:cs="Times New Roman"/>
        <w:sz w:val="24"/>
        <w:szCs w:val="24"/>
      </w:rPr>
      <w:tab/>
    </w:r>
    <w:sdt>
      <w:sdtPr>
        <w:rPr>
          <w:rFonts w:ascii="Times New Roman" w:hAnsi="Times New Roman" w:cs="Times New Roman"/>
          <w:sz w:val="24"/>
          <w:szCs w:val="24"/>
        </w:rPr>
        <w:id w:val="1956287481"/>
        <w:docPartObj>
          <w:docPartGallery w:val="Page Numbers (Top of Page)"/>
          <w:docPartUnique/>
        </w:docPartObj>
      </w:sdtPr>
      <w:sdtEndPr>
        <w:rPr>
          <w:noProof/>
        </w:rPr>
      </w:sdtEndPr>
      <w:sdtContent>
        <w:r w:rsidRPr="00E3683B">
          <w:rPr>
            <w:rFonts w:ascii="Times New Roman" w:hAnsi="Times New Roman" w:cs="Times New Roman"/>
            <w:sz w:val="24"/>
            <w:szCs w:val="24"/>
          </w:rPr>
          <w:fldChar w:fldCharType="begin"/>
        </w:r>
        <w:r w:rsidRPr="00E3683B">
          <w:rPr>
            <w:rFonts w:ascii="Times New Roman" w:hAnsi="Times New Roman" w:cs="Times New Roman"/>
            <w:sz w:val="24"/>
            <w:szCs w:val="24"/>
          </w:rPr>
          <w:instrText xml:space="preserve"> PAGE   \* MERGEFORMAT </w:instrText>
        </w:r>
        <w:r w:rsidRPr="00E3683B">
          <w:rPr>
            <w:rFonts w:ascii="Times New Roman" w:hAnsi="Times New Roman" w:cs="Times New Roman"/>
            <w:sz w:val="24"/>
            <w:szCs w:val="24"/>
          </w:rPr>
          <w:fldChar w:fldCharType="separate"/>
        </w:r>
        <w:r w:rsidR="006E365A">
          <w:rPr>
            <w:rFonts w:ascii="Times New Roman" w:hAnsi="Times New Roman" w:cs="Times New Roman"/>
            <w:noProof/>
            <w:sz w:val="24"/>
            <w:szCs w:val="24"/>
          </w:rPr>
          <w:t>1</w:t>
        </w:r>
        <w:r w:rsidRPr="00E3683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16F"/>
    <w:rsid w:val="000137AB"/>
    <w:rsid w:val="000152AB"/>
    <w:rsid w:val="00015676"/>
    <w:rsid w:val="00021091"/>
    <w:rsid w:val="000210DE"/>
    <w:rsid w:val="00033D19"/>
    <w:rsid w:val="000409D5"/>
    <w:rsid w:val="00041B0C"/>
    <w:rsid w:val="00043A02"/>
    <w:rsid w:val="00045417"/>
    <w:rsid w:val="00045729"/>
    <w:rsid w:val="00046C3B"/>
    <w:rsid w:val="000542C2"/>
    <w:rsid w:val="00055409"/>
    <w:rsid w:val="000609D0"/>
    <w:rsid w:val="000A3AEA"/>
    <w:rsid w:val="000A4EA9"/>
    <w:rsid w:val="000A4FD7"/>
    <w:rsid w:val="000A5E78"/>
    <w:rsid w:val="000C6D44"/>
    <w:rsid w:val="000C7D2A"/>
    <w:rsid w:val="000E0FB8"/>
    <w:rsid w:val="000E5B92"/>
    <w:rsid w:val="000F401A"/>
    <w:rsid w:val="00101A22"/>
    <w:rsid w:val="00134921"/>
    <w:rsid w:val="0014665C"/>
    <w:rsid w:val="001476D8"/>
    <w:rsid w:val="00150B40"/>
    <w:rsid w:val="00170AB5"/>
    <w:rsid w:val="00184DC2"/>
    <w:rsid w:val="0019030B"/>
    <w:rsid w:val="001A611F"/>
    <w:rsid w:val="001D1C3F"/>
    <w:rsid w:val="001E5AB9"/>
    <w:rsid w:val="00201B06"/>
    <w:rsid w:val="00233FE9"/>
    <w:rsid w:val="00255E4A"/>
    <w:rsid w:val="00275231"/>
    <w:rsid w:val="002909E1"/>
    <w:rsid w:val="00295811"/>
    <w:rsid w:val="002C0F48"/>
    <w:rsid w:val="002C697B"/>
    <w:rsid w:val="002D1DB0"/>
    <w:rsid w:val="002E6C16"/>
    <w:rsid w:val="002F0B3F"/>
    <w:rsid w:val="003222C1"/>
    <w:rsid w:val="00324278"/>
    <w:rsid w:val="00341E28"/>
    <w:rsid w:val="003572D8"/>
    <w:rsid w:val="003779F8"/>
    <w:rsid w:val="003A17DE"/>
    <w:rsid w:val="003A2746"/>
    <w:rsid w:val="003A2BFC"/>
    <w:rsid w:val="003A4410"/>
    <w:rsid w:val="003B173A"/>
    <w:rsid w:val="003B60B3"/>
    <w:rsid w:val="003D43B4"/>
    <w:rsid w:val="003D4CA1"/>
    <w:rsid w:val="003D6C92"/>
    <w:rsid w:val="003E34FF"/>
    <w:rsid w:val="003E7E46"/>
    <w:rsid w:val="004112E7"/>
    <w:rsid w:val="004250C7"/>
    <w:rsid w:val="00441901"/>
    <w:rsid w:val="0045545A"/>
    <w:rsid w:val="00456D0A"/>
    <w:rsid w:val="00462552"/>
    <w:rsid w:val="00464EDC"/>
    <w:rsid w:val="004859EE"/>
    <w:rsid w:val="00492B03"/>
    <w:rsid w:val="004A1EE2"/>
    <w:rsid w:val="004A6F93"/>
    <w:rsid w:val="004B3964"/>
    <w:rsid w:val="004C43D7"/>
    <w:rsid w:val="004D2FF3"/>
    <w:rsid w:val="004E51EA"/>
    <w:rsid w:val="004F3146"/>
    <w:rsid w:val="00515BDF"/>
    <w:rsid w:val="005302C0"/>
    <w:rsid w:val="005344B3"/>
    <w:rsid w:val="00534E16"/>
    <w:rsid w:val="00536771"/>
    <w:rsid w:val="00541C27"/>
    <w:rsid w:val="005573D4"/>
    <w:rsid w:val="00562284"/>
    <w:rsid w:val="0056564A"/>
    <w:rsid w:val="00583140"/>
    <w:rsid w:val="005905E6"/>
    <w:rsid w:val="005A457A"/>
    <w:rsid w:val="005C55BB"/>
    <w:rsid w:val="005F0BEC"/>
    <w:rsid w:val="006212E9"/>
    <w:rsid w:val="00626137"/>
    <w:rsid w:val="0063658D"/>
    <w:rsid w:val="0064026E"/>
    <w:rsid w:val="00646E2F"/>
    <w:rsid w:val="00661C2E"/>
    <w:rsid w:val="006621F6"/>
    <w:rsid w:val="00662849"/>
    <w:rsid w:val="00686E2C"/>
    <w:rsid w:val="006B4634"/>
    <w:rsid w:val="006C5A7F"/>
    <w:rsid w:val="006E365A"/>
    <w:rsid w:val="006F1169"/>
    <w:rsid w:val="006F1876"/>
    <w:rsid w:val="006F3545"/>
    <w:rsid w:val="00705C7D"/>
    <w:rsid w:val="007335AA"/>
    <w:rsid w:val="0076753C"/>
    <w:rsid w:val="00774C0A"/>
    <w:rsid w:val="00782901"/>
    <w:rsid w:val="00785CED"/>
    <w:rsid w:val="0078603F"/>
    <w:rsid w:val="007864BF"/>
    <w:rsid w:val="00790960"/>
    <w:rsid w:val="007A5471"/>
    <w:rsid w:val="007C2415"/>
    <w:rsid w:val="007C4A14"/>
    <w:rsid w:val="007D239A"/>
    <w:rsid w:val="007E2C32"/>
    <w:rsid w:val="007F2EC4"/>
    <w:rsid w:val="008060D7"/>
    <w:rsid w:val="00812D5B"/>
    <w:rsid w:val="00822B4F"/>
    <w:rsid w:val="00834BA6"/>
    <w:rsid w:val="008457BD"/>
    <w:rsid w:val="00846289"/>
    <w:rsid w:val="00847ABD"/>
    <w:rsid w:val="00851210"/>
    <w:rsid w:val="008527FD"/>
    <w:rsid w:val="00865E2E"/>
    <w:rsid w:val="008802F1"/>
    <w:rsid w:val="008831EB"/>
    <w:rsid w:val="008A2256"/>
    <w:rsid w:val="008C4874"/>
    <w:rsid w:val="008C7E2A"/>
    <w:rsid w:val="008D0A08"/>
    <w:rsid w:val="008D3712"/>
    <w:rsid w:val="008E4A5E"/>
    <w:rsid w:val="008F57B8"/>
    <w:rsid w:val="009122E4"/>
    <w:rsid w:val="00931A61"/>
    <w:rsid w:val="00935159"/>
    <w:rsid w:val="00940FE9"/>
    <w:rsid w:val="0094116F"/>
    <w:rsid w:val="00951073"/>
    <w:rsid w:val="00956FA6"/>
    <w:rsid w:val="009659B1"/>
    <w:rsid w:val="009811E6"/>
    <w:rsid w:val="009872A8"/>
    <w:rsid w:val="00993ED5"/>
    <w:rsid w:val="00996EC4"/>
    <w:rsid w:val="009C3865"/>
    <w:rsid w:val="009E28D5"/>
    <w:rsid w:val="009F1A0F"/>
    <w:rsid w:val="009F3289"/>
    <w:rsid w:val="00A23649"/>
    <w:rsid w:val="00A46263"/>
    <w:rsid w:val="00A529CE"/>
    <w:rsid w:val="00A5362E"/>
    <w:rsid w:val="00A60D9D"/>
    <w:rsid w:val="00A674ED"/>
    <w:rsid w:val="00A75B22"/>
    <w:rsid w:val="00A94D91"/>
    <w:rsid w:val="00AA3CF2"/>
    <w:rsid w:val="00AA6A86"/>
    <w:rsid w:val="00AB192A"/>
    <w:rsid w:val="00AC49B7"/>
    <w:rsid w:val="00B12EAE"/>
    <w:rsid w:val="00B300A5"/>
    <w:rsid w:val="00B5360A"/>
    <w:rsid w:val="00B53AB5"/>
    <w:rsid w:val="00B543FE"/>
    <w:rsid w:val="00B55387"/>
    <w:rsid w:val="00B6404A"/>
    <w:rsid w:val="00B86545"/>
    <w:rsid w:val="00B94DEB"/>
    <w:rsid w:val="00BA3085"/>
    <w:rsid w:val="00BA4618"/>
    <w:rsid w:val="00BE410F"/>
    <w:rsid w:val="00BE7CB6"/>
    <w:rsid w:val="00C00E19"/>
    <w:rsid w:val="00C03EA9"/>
    <w:rsid w:val="00C056D4"/>
    <w:rsid w:val="00C138CB"/>
    <w:rsid w:val="00C21A52"/>
    <w:rsid w:val="00C3236A"/>
    <w:rsid w:val="00C44B4B"/>
    <w:rsid w:val="00C473AE"/>
    <w:rsid w:val="00C61AE2"/>
    <w:rsid w:val="00C8618C"/>
    <w:rsid w:val="00C95D92"/>
    <w:rsid w:val="00CA0046"/>
    <w:rsid w:val="00CA2F66"/>
    <w:rsid w:val="00CA2FCD"/>
    <w:rsid w:val="00CA350E"/>
    <w:rsid w:val="00CA5BFC"/>
    <w:rsid w:val="00CA5D31"/>
    <w:rsid w:val="00CA6870"/>
    <w:rsid w:val="00CD0577"/>
    <w:rsid w:val="00CF15BD"/>
    <w:rsid w:val="00CF215C"/>
    <w:rsid w:val="00CF4C03"/>
    <w:rsid w:val="00CF57BD"/>
    <w:rsid w:val="00D032EE"/>
    <w:rsid w:val="00D16E0C"/>
    <w:rsid w:val="00D17D80"/>
    <w:rsid w:val="00D2579B"/>
    <w:rsid w:val="00D31581"/>
    <w:rsid w:val="00D52982"/>
    <w:rsid w:val="00D6558A"/>
    <w:rsid w:val="00D74796"/>
    <w:rsid w:val="00D7533B"/>
    <w:rsid w:val="00D80873"/>
    <w:rsid w:val="00DA65A7"/>
    <w:rsid w:val="00DB38B8"/>
    <w:rsid w:val="00DB3C22"/>
    <w:rsid w:val="00DB51E9"/>
    <w:rsid w:val="00DC0588"/>
    <w:rsid w:val="00E03664"/>
    <w:rsid w:val="00E1403C"/>
    <w:rsid w:val="00E3044C"/>
    <w:rsid w:val="00E3683B"/>
    <w:rsid w:val="00E421D4"/>
    <w:rsid w:val="00E455ED"/>
    <w:rsid w:val="00E471CA"/>
    <w:rsid w:val="00E53D26"/>
    <w:rsid w:val="00E74E8E"/>
    <w:rsid w:val="00EB63DC"/>
    <w:rsid w:val="00EC79C1"/>
    <w:rsid w:val="00ED66D6"/>
    <w:rsid w:val="00EE5684"/>
    <w:rsid w:val="00EF2110"/>
    <w:rsid w:val="00EF2473"/>
    <w:rsid w:val="00EF3B5A"/>
    <w:rsid w:val="00F1630C"/>
    <w:rsid w:val="00F22E0A"/>
    <w:rsid w:val="00F31E11"/>
    <w:rsid w:val="00F60FFF"/>
    <w:rsid w:val="00F67119"/>
    <w:rsid w:val="00F67488"/>
    <w:rsid w:val="00F676EB"/>
    <w:rsid w:val="00F82FB4"/>
    <w:rsid w:val="00F919D7"/>
    <w:rsid w:val="00F961C9"/>
    <w:rsid w:val="00FA7C91"/>
    <w:rsid w:val="00FB2CD2"/>
    <w:rsid w:val="00FB6952"/>
    <w:rsid w:val="00FC4A2A"/>
    <w:rsid w:val="00FD5FCC"/>
    <w:rsid w:val="00FE64CC"/>
    <w:rsid w:val="00FF2BF9"/>
    <w:rsid w:val="00FF3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B5A"/>
  </w:style>
  <w:style w:type="paragraph" w:styleId="Footer">
    <w:name w:val="footer"/>
    <w:basedOn w:val="Normal"/>
    <w:link w:val="FooterChar"/>
    <w:uiPriority w:val="99"/>
    <w:unhideWhenUsed/>
    <w:rsid w:val="00EF3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B5A"/>
  </w:style>
  <w:style w:type="paragraph" w:styleId="NormalWeb">
    <w:name w:val="Normal (Web)"/>
    <w:basedOn w:val="Normal"/>
    <w:uiPriority w:val="99"/>
    <w:semiHidden/>
    <w:unhideWhenUsed/>
    <w:rsid w:val="00D17D80"/>
    <w:rPr>
      <w:rFonts w:ascii="Times New Roman" w:hAnsi="Times New Roman" w:cs="Times New Roman"/>
      <w:sz w:val="24"/>
      <w:szCs w:val="24"/>
    </w:rPr>
  </w:style>
  <w:style w:type="character" w:styleId="Emphasis">
    <w:name w:val="Emphasis"/>
    <w:basedOn w:val="DefaultParagraphFont"/>
    <w:uiPriority w:val="20"/>
    <w:qFormat/>
    <w:rsid w:val="00B543F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3B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B5A"/>
  </w:style>
  <w:style w:type="paragraph" w:styleId="Footer">
    <w:name w:val="footer"/>
    <w:basedOn w:val="Normal"/>
    <w:link w:val="FooterChar"/>
    <w:uiPriority w:val="99"/>
    <w:unhideWhenUsed/>
    <w:rsid w:val="00EF3B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B5A"/>
  </w:style>
  <w:style w:type="paragraph" w:styleId="NormalWeb">
    <w:name w:val="Normal (Web)"/>
    <w:basedOn w:val="Normal"/>
    <w:uiPriority w:val="99"/>
    <w:semiHidden/>
    <w:unhideWhenUsed/>
    <w:rsid w:val="00D17D80"/>
    <w:rPr>
      <w:rFonts w:ascii="Times New Roman" w:hAnsi="Times New Roman" w:cs="Times New Roman"/>
      <w:sz w:val="24"/>
      <w:szCs w:val="24"/>
    </w:rPr>
  </w:style>
  <w:style w:type="character" w:styleId="Emphasis">
    <w:name w:val="Emphasis"/>
    <w:basedOn w:val="DefaultParagraphFont"/>
    <w:uiPriority w:val="20"/>
    <w:qFormat/>
    <w:rsid w:val="00B543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03512">
      <w:bodyDiv w:val="1"/>
      <w:marLeft w:val="0"/>
      <w:marRight w:val="0"/>
      <w:marTop w:val="0"/>
      <w:marBottom w:val="0"/>
      <w:divBdr>
        <w:top w:val="none" w:sz="0" w:space="0" w:color="auto"/>
        <w:left w:val="none" w:sz="0" w:space="0" w:color="auto"/>
        <w:bottom w:val="none" w:sz="0" w:space="0" w:color="auto"/>
        <w:right w:val="none" w:sz="0" w:space="0" w:color="auto"/>
      </w:divBdr>
    </w:div>
    <w:div w:id="184636042">
      <w:bodyDiv w:val="1"/>
      <w:marLeft w:val="0"/>
      <w:marRight w:val="0"/>
      <w:marTop w:val="0"/>
      <w:marBottom w:val="0"/>
      <w:divBdr>
        <w:top w:val="none" w:sz="0" w:space="0" w:color="auto"/>
        <w:left w:val="none" w:sz="0" w:space="0" w:color="auto"/>
        <w:bottom w:val="none" w:sz="0" w:space="0" w:color="auto"/>
        <w:right w:val="none" w:sz="0" w:space="0" w:color="auto"/>
      </w:divBdr>
    </w:div>
    <w:div w:id="134829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7</Pages>
  <Words>1202</Words>
  <Characters>6853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Dinoh</dc:creator>
  <cp:lastModifiedBy>Dinoh</cp:lastModifiedBy>
  <cp:revision>176</cp:revision>
  <dcterms:created xsi:type="dcterms:W3CDTF">2021-01-10T07:32:00Z</dcterms:created>
  <dcterms:modified xsi:type="dcterms:W3CDTF">2021-01-10T10:25:00Z</dcterms:modified>
</cp:coreProperties>
</file>